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7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7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субсидий из областного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бюджетам муниципальных образований на модернизацию региональных и (или)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</w:t>
      </w:r>
      <w:r>
        <w:rPr>
          <w:rFonts w:ascii="Times New Roman" w:hAnsi="Times New Roman" w:cs="Times New Roman"/>
          <w:sz w:val="28"/>
          <w:szCs w:val="28"/>
        </w:rPr>
        <w:t xml:space="preserve">ящие Правила устанавливают порядок предоставления и распределения субсидий из областного бюджета бюджетам муниципальных образований Оренбургской области на модернизацию региональных и (или) муниципальных учреждений культуры (далее – субсидии), в том числе: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модернизацию региональных и муниципальных библиотек</w:t>
      </w:r>
      <w:r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(далее – субсидия 1);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модернизацию региональных и муниципальных детских школ искусств</w:t>
      </w:r>
      <w:r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(далее – субсидия 2);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модернизацию региональных и муниципальных музеев</w:t>
      </w:r>
      <w:r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(далее – субсидия 3);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модернизацию учреждений культурно-досугового типа в населенных пунктах с численностью до 500 тыс. человек</w:t>
      </w:r>
      <w:r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(далее – субсидия 4);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модернизацию муниципальных детских школ искусств путем их капитального ремонта, источником финансового обеспечения которой являются исключительно средства областного бюджета (далее - субсидия 5);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модернизацию учреждений культурно-досугового типа в населенных пунктах с численностью до 500 тыс. человек, источником финансового обеспечения которой являются исключительно средства областного бюджета (далее – субсидия 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Субсидии предоставляются бюджетам муниципальных округов, городских округов, муниципальных районов и сельских поселений Оренбургской области в целях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выполнении полномочий при решении следующих вопросов местного значения: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муниципального округа, городского округа - создание условий для организации досуга и обеспечения жителей муниципального округа, городского округа услугами организаций культуры;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муниципального района - создание условий для обеспечения поселений, входящих в состав муниципального района, услугами по организации досуга и услугами организаций культуры;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сельского поселения - создание условий для организации досуга и обеспечения жителей поселения услугами организаций культуры.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организация библиотечного обслуживания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межпоселенческими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библиотеками, комплектование и обеспечение сохранности их библиотечных фондов;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организация библиотечного обслуживания населения, комплектование и обеспечение сохранности библиотечных фондов библиотек муниципального, городского округа;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организация библиотечного обслуживания населения, комплектование и обеспечение сохранности библиоте</w:t>
      </w:r>
      <w:r>
        <w:rPr>
          <w:rFonts w:ascii="Times New Roman" w:hAnsi="Times New Roman" w:cs="Times New Roman"/>
          <w:sz w:val="28"/>
          <w:szCs w:val="28"/>
        </w:rPr>
        <w:t xml:space="preserve">чных фондов библиотек поселения;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 организация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дополнительного образования детей в муниципальных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Получателями субсидий являются муниципальные округа, городские округа, муниципальные районы и сельские поселения Оренбургской области (далее – муниципальное образование, муниципальные образования).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P557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4. Субсидии предоставляются муниципальным образованиям в рамках р</w:t>
      </w:r>
      <w:r>
        <w:rPr>
          <w:rFonts w:ascii="Times New Roman" w:hAnsi="Times New Roman" w:cs="Times New Roman"/>
          <w:sz w:val="28"/>
          <w:szCs w:val="28"/>
        </w:rPr>
        <w:t xml:space="preserve">еализации регионального проекта «Семейные ценности и инфраструктура культуры», обеспечивающего достижение целей, показателей и результатов федерального проекта «Семейные ценности и инфраструктура культуры», входящего в состав национального проекта «Семья».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1 предоставляется в целях модернизации региональных и муниципальных библиотек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2 предоставляется в целях модернизации региональных и муниципальных детских школ искусств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3 предоставляется в целях модернизации региональных и муниципальных музеев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4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в целях модернизации учреждений культурно-досугового типа в населенных пунктах с численностью до 500 тыс. человек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5 предоставляется в целях достижения результата предоставления субсидии 2 при условии увеличения сметной стоимости капитального ремонта объекта муниципальной собственности.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6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в целях </w:t>
      </w:r>
      <w:r>
        <w:rPr>
          <w:rFonts w:ascii="Times New Roman" w:hAnsi="Times New Roman" w:cs="Times New Roman"/>
          <w:sz w:val="28"/>
          <w:szCs w:val="28"/>
        </w:rPr>
        <w:t xml:space="preserve">достижения результата субсидии 4</w:t>
      </w:r>
      <w:r>
        <w:rPr>
          <w:rFonts w:ascii="Times New Roman" w:hAnsi="Times New Roman" w:cs="Times New Roman"/>
          <w:sz w:val="28"/>
          <w:szCs w:val="28"/>
        </w:rPr>
        <w:t xml:space="preserve"> при условии увеличения сметной стоимости капитального ремонта объекта муниципальной собственности по результатам государственной экспертизы проектно-сметной документации и результатов инженерных изысканий и (или) изменения проектной мощности.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5. Главным распорядителем средств областного бюджета, до которого как до получателя бюджетных средств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бюджетным законодательством доведены в установленном порядке бюджетные ассигнования (лимиты бюджетных обязательств) на предоставление субсидий на очередной финансовый год и на планов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ый период, является министерство культуры Оренбургской области (далее -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6. Субсидии предоставляются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результатам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конкурсного отбора муниципальных образований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(далее - конкурсный отбор), проводимого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с учетом сроков,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установленных Министерством культуры Российской Федерации,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соблюд</w:t>
      </w:r>
      <w:r>
        <w:rPr>
          <w:rFonts w:ascii="Times New Roman" w:hAnsi="Times New Roman" w:cs="Times New Roman"/>
          <w:sz w:val="28"/>
          <w:szCs w:val="28"/>
        </w:rPr>
        <w:t xml:space="preserve">ении следующих условий: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наличие муниципальн</w:t>
      </w:r>
      <w:bookmarkStart w:id="1" w:name="_GoBack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ой программы, предусматривающей проведение </w:t>
      </w:r>
      <w:r>
        <w:rPr>
          <w:rFonts w:ascii="Times New Roman" w:hAnsi="Times New Roman" w:cs="Times New Roman"/>
          <w:sz w:val="28"/>
          <w:szCs w:val="28"/>
        </w:rPr>
        <w:t xml:space="preserve">мероприятий, на исполнение которых предоставляется субсидия;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наличие правового акта, устанавливающего расходное обязательство муниципального образования, на исполнение которого предоставляется субсидия;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наличие соглашения: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из областного бюджета бюджету муниципального образования субсидии 1,</w:t>
      </w:r>
      <w:r>
        <w:rPr>
          <w:rFonts w:ascii="Times New Roman" w:hAnsi="Times New Roman" w:cs="Times New Roman"/>
          <w:sz w:val="28"/>
          <w:szCs w:val="28"/>
        </w:rPr>
        <w:t xml:space="preserve"> 2, 3, 4</w:t>
      </w:r>
      <w:r>
        <w:rPr>
          <w:rFonts w:ascii="Times New Roman" w:hAnsi="Times New Roman" w:cs="Times New Roman"/>
          <w:sz w:val="28"/>
          <w:szCs w:val="28"/>
        </w:rPr>
        <w:t xml:space="preserve"> заключенного в форме электронно</w:t>
      </w:r>
      <w:r>
        <w:rPr>
          <w:rFonts w:ascii="Times New Roman" w:hAnsi="Times New Roman" w:cs="Times New Roman"/>
          <w:sz w:val="28"/>
          <w:szCs w:val="28"/>
        </w:rPr>
        <w:t xml:space="preserve">го документа с использованием государственной интегрированной информационной системы управления общественными финансами «Электронный бюджет» с учетом требований типовой формы, утвержденной Министерством финансов Российской Федерации (далее – соглашение 1);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оставлении из областного бюджета бюджету муниц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ипального образования субсидии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заключенного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форме электронного документа с использованием государственной информационной системы «Региональный электронный бюджет Оренбургской области» с учетом требований типовой формы, утвержденной министерством финансов Оренбургской области (далее – соглашение 2).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7. Субсидии не могут быть использованы на благоустройство территории, подключение к инженерным сетям, а также корректировку проектно-сметной документации.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8.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Для участия в конкурсном отборе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для предоставления субсидии 1, 2, 3, 4 муниципальные образования представляют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заявки и необходимые документы в порядке, сроки и по форме, установленные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   9. Критериями конкурсного отбора для субсидии 1 являются: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</w:rPr>
      </w:pPr>
      <w:r>
        <w:rPr>
          <w:sz w:val="28"/>
          <w:highlight w:val="white"/>
        </w:rPr>
        <w:t xml:space="preserve">а) </w:t>
      </w:r>
      <w:r>
        <w:rPr>
          <w:sz w:val="28"/>
          <w:highlight w:val="white"/>
        </w:rPr>
        <w:t xml:space="preserve">наличие положит</w:t>
      </w:r>
      <w:r>
        <w:rPr>
          <w:sz w:val="28"/>
        </w:rPr>
        <w:t xml:space="preserve">ел</w:t>
      </w:r>
      <w:r>
        <w:rPr>
          <w:sz w:val="28"/>
        </w:rPr>
        <w:t xml:space="preserve">ьного заключения о достоверности определения сметной стоимости капитального ремонта объекта муниципальной собственности или договора о проведении проверки достоверности определения сметной стоимости капитального ремонта объекта муниципальной собственности;</w:t>
      </w:r>
      <w:r>
        <w:rPr>
          <w:sz w:val="28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б) </w:t>
      </w:r>
      <w:r>
        <w:rPr>
          <w:sz w:val="28"/>
        </w:rPr>
        <w:t xml:space="preserve">наличие документа, подтверждающего право собственности или право использования на объект, подлежащий реконструкции, капитальному ремонту.</w:t>
      </w:r>
      <w:r>
        <w:rPr>
          <w:sz w:val="28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10. Критериями конкурсного отбора для субсидии 2 являются:</w:t>
      </w:r>
      <w:r>
        <w:rPr>
          <w:sz w:val="28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а) заявка</w:t>
      </w:r>
      <w:r>
        <w:rPr>
          <w:sz w:val="28"/>
        </w:rPr>
        <w:t xml:space="preserve"> на участие в отборе;</w:t>
      </w:r>
      <w:r>
        <w:rPr>
          <w:sz w:val="28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б) смета</w:t>
      </w:r>
      <w:r>
        <w:rPr>
          <w:sz w:val="28"/>
        </w:rPr>
        <w:t xml:space="preserve"> на капитальный ремонт ДШИ, имеющей положительное заключение государственной экспертизы о достоверности сметной стоимости;</w:t>
      </w:r>
      <w:r>
        <w:rPr>
          <w:sz w:val="28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в) письменное обоснование</w:t>
      </w:r>
      <w:r>
        <w:rPr>
          <w:sz w:val="28"/>
        </w:rPr>
        <w:t xml:space="preserve"> о необходимости проведения капитального ремонта;</w:t>
      </w:r>
      <w:r>
        <w:rPr>
          <w:sz w:val="28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г) муниципальн</w:t>
      </w:r>
      <w:r>
        <w:rPr>
          <w:sz w:val="28"/>
        </w:rPr>
        <w:t xml:space="preserve">ая программа или письменное</w:t>
      </w:r>
      <w:r>
        <w:rPr>
          <w:sz w:val="28"/>
        </w:rPr>
        <w:t xml:space="preserve"> обязательств</w:t>
      </w:r>
      <w:r>
        <w:rPr>
          <w:sz w:val="28"/>
        </w:rPr>
        <w:t xml:space="preserve">о</w:t>
      </w:r>
      <w:r>
        <w:rPr>
          <w:sz w:val="28"/>
        </w:rPr>
        <w:t xml:space="preserve"> о включении в муниципальную программу мероприятия по модернизации муниципальных детских школ искусств путем их капитального ремонта;</w:t>
      </w:r>
      <w:r>
        <w:rPr>
          <w:sz w:val="28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д) письменное обязательство</w:t>
      </w:r>
      <w:r>
        <w:rPr>
          <w:sz w:val="28"/>
        </w:rPr>
        <w:t xml:space="preserve"> по </w:t>
      </w:r>
      <w:r>
        <w:rPr>
          <w:sz w:val="28"/>
        </w:rPr>
        <w:t xml:space="preserve">софинансированию</w:t>
      </w:r>
      <w:r>
        <w:rPr>
          <w:sz w:val="28"/>
        </w:rPr>
        <w:t xml:space="preserve"> мероприятия по модернизации муниципальных детских школ искусств путем их капитального ремонта за счет средств бюджета муниципального образования в объеме не менее установленного уровня </w:t>
      </w:r>
      <w:r>
        <w:rPr>
          <w:sz w:val="28"/>
        </w:rPr>
        <w:t xml:space="preserve">софинансирования</w:t>
      </w:r>
      <w:r>
        <w:rPr>
          <w:sz w:val="28"/>
        </w:rPr>
        <w:t xml:space="preserve">.</w:t>
      </w:r>
      <w:r>
        <w:rPr>
          <w:sz w:val="28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11. Критериями конкурсного отбора для субсидии 3 являются:</w:t>
      </w:r>
      <w:r>
        <w:rPr>
          <w:sz w:val="28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а) наличие положительного заключения о достоверности определения сметной стоимости капитального ремонта объекта муниципальной собственности </w:t>
      </w:r>
      <w:r>
        <w:rPr>
          <w:sz w:val="28"/>
        </w:rPr>
        <w:t xml:space="preserve">или договора о проведении проверки достоверности определения сметной стоимости капитального ремонта объекта муниципальной собственности;</w:t>
      </w:r>
      <w:r>
        <w:rPr>
          <w:sz w:val="28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б) наличие документа, подтверждающего право собственности или право использования на объект, подлежащий реконструкции, капитальному ремонту.</w:t>
      </w:r>
      <w:r>
        <w:rPr>
          <w:sz w:val="28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12. Критериями конкурсного отбора для субсидии 4 являются:</w:t>
      </w:r>
      <w:r>
        <w:rPr>
          <w:sz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заявки муниципального образования об участии в конкурсном отборе на предоставление субсидии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положител</w:t>
      </w:r>
      <w:r>
        <w:rPr>
          <w:rFonts w:ascii="Times New Roman" w:hAnsi="Times New Roman" w:cs="Times New Roman"/>
          <w:sz w:val="28"/>
          <w:szCs w:val="28"/>
        </w:rPr>
        <w:t xml:space="preserve">ьного заключения о достоверности определения сметной стоимости капитального ремонта объекта муниципальной собственности или договора о проведении проверки достоверности определения сметной стоимости капитального ремонта объекта муниципальной собственности;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документа, подтверждающего право собственности на имущество учреждения культурно-досуговой деятельности.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 Минкультуры формирует</w:t>
      </w:r>
      <w:r>
        <w:rPr>
          <w:rFonts w:ascii="Times New Roman" w:hAnsi="Times New Roman" w:cs="Times New Roman"/>
          <w:sz w:val="28"/>
          <w:szCs w:val="28"/>
        </w:rPr>
        <w:t xml:space="preserve"> свод заявок, представленных муниципальными образованиями, и прошедшими конкурсный отбор, и направляет его в Министерство культуры Российской Федерации вместе с заявкой на участие в отборе в сроки, установленные Министерством культуры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</w:t>
      </w:r>
      <w:r>
        <w:rPr>
          <w:rFonts w:ascii="Times New Roman" w:hAnsi="Times New Roman" w:cs="Times New Roman"/>
          <w:sz w:val="28"/>
          <w:szCs w:val="28"/>
        </w:rPr>
        <w:t xml:space="preserve">. Победителями конкурсного отбора являются муниципальные образования, прошедшие конкурсный отбор в </w:t>
      </w:r>
      <w:r>
        <w:rPr>
          <w:rFonts w:ascii="Times New Roman" w:hAnsi="Times New Roman" w:cs="Times New Roman"/>
          <w:sz w:val="28"/>
          <w:szCs w:val="28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</w:rPr>
        <w:t xml:space="preserve"> и отобранные Министерством культуры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</w:t>
      </w:r>
      <w:r>
        <w:rPr>
          <w:rFonts w:ascii="Times New Roman" w:hAnsi="Times New Roman" w:cs="Times New Roman"/>
          <w:sz w:val="28"/>
          <w:szCs w:val="28"/>
        </w:rPr>
        <w:t xml:space="preserve">. Субсидии предоставляются муниципальным образованиям, являющимися победителями конкурсного отбора в соответствии с пунктом 1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Объем субсидии 1 рассчитывается по формуле: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= Si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x </w:t>
      </w: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- объем субсидии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бюджету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областного бюджета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средствах на модернизацию региональных и муниципальных библиотек путем проведения капитального ремонта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rFonts w:ascii="Times New Roman" w:hAnsi="Times New Roman" w:cs="Times New Roman"/>
          <w:sz w:val="28"/>
          <w:szCs w:val="28"/>
        </w:rPr>
        <w:t xml:space="preserve">бласти от 30 августа 2022 года №</w:t>
      </w:r>
      <w:r>
        <w:rPr>
          <w:rFonts w:ascii="Times New Roman" w:hAnsi="Times New Roman" w:cs="Times New Roman"/>
          <w:sz w:val="28"/>
          <w:szCs w:val="28"/>
        </w:rPr>
        <w:t xml:space="preserve"> 942-пп "О предельном уровне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>
        <w:rPr>
          <w:rFonts w:ascii="Times New Roman" w:hAnsi="Times New Roman" w:cs="Times New Roman"/>
          <w:sz w:val="28"/>
          <w:szCs w:val="28"/>
        </w:rPr>
        <w:t xml:space="preserve">й области от 20 июня 2016 года №</w:t>
      </w:r>
      <w:r>
        <w:rPr>
          <w:rFonts w:ascii="Times New Roman" w:hAnsi="Times New Roman" w:cs="Times New Roman"/>
          <w:sz w:val="28"/>
          <w:szCs w:val="28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>
        <w:rPr>
          <w:rFonts w:ascii="Times New Roman" w:hAnsi="Times New Roman" w:cs="Times New Roman"/>
          <w:sz w:val="28"/>
          <w:szCs w:val="28"/>
        </w:rPr>
        <w:t xml:space="preserve">бургской области от 20.06.2016 №</w:t>
      </w:r>
      <w:r>
        <w:rPr>
          <w:rFonts w:ascii="Times New Roman" w:hAnsi="Times New Roman" w:cs="Times New Roman"/>
          <w:sz w:val="28"/>
          <w:szCs w:val="28"/>
        </w:rPr>
        <w:t xml:space="preserve"> 430-п).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Объем субсидии 2 рассчитывается по формуле: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jc w:val="center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C</w:t>
      </w:r>
      <w:r>
        <w:rPr>
          <w:sz w:val="28"/>
          <w:szCs w:val="28"/>
          <w:vertAlign w:val="subscript"/>
        </w:rPr>
        <w:t xml:space="preserve">i2</w:t>
      </w:r>
      <w:r>
        <w:rPr>
          <w:sz w:val="28"/>
          <w:szCs w:val="28"/>
        </w:rPr>
        <w:t xml:space="preserve"> = CC</w:t>
      </w:r>
      <w:r>
        <w:rPr>
          <w:sz w:val="28"/>
          <w:szCs w:val="28"/>
          <w:vertAlign w:val="subscript"/>
        </w:rPr>
        <w:t xml:space="preserve">i2</w:t>
      </w:r>
      <w:r>
        <w:rPr>
          <w:sz w:val="28"/>
          <w:szCs w:val="28"/>
        </w:rPr>
        <w:t xml:space="preserve"> x </w:t>
      </w:r>
      <w:r>
        <w:rPr>
          <w:sz w:val="28"/>
          <w:szCs w:val="28"/>
        </w:rPr>
        <w:t xml:space="preserve">ПСФ</w:t>
      </w:r>
      <w:r>
        <w:rPr>
          <w:sz w:val="28"/>
          <w:szCs w:val="28"/>
          <w:vertAlign w:val="subscript"/>
        </w:rPr>
        <w:t xml:space="preserve">i</w:t>
      </w:r>
      <w:r>
        <w:rPr>
          <w:sz w:val="28"/>
          <w:szCs w:val="28"/>
        </w:rPr>
        <w:t xml:space="preserve">, где:</w:t>
      </w:r>
      <w:r>
        <w:rPr>
          <w:sz w:val="28"/>
          <w:szCs w:val="28"/>
        </w:rPr>
      </w:r>
    </w:p>
    <w:p>
      <w:pPr>
        <w:pStyle w:val="933"/>
        <w:jc w:val="both"/>
        <w:spacing w:before="0" w:beforeAutospacing="0" w:after="0" w:afterAutospacing="0" w:line="288" w:lineRule="atLeast"/>
      </w:pPr>
      <w:r>
        <w:t xml:space="preserve">  </w:t>
      </w:r>
      <w:r/>
    </w:p>
    <w:p>
      <w:pPr>
        <w:pStyle w:val="933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C</w:t>
      </w:r>
      <w:r>
        <w:rPr>
          <w:sz w:val="28"/>
          <w:szCs w:val="28"/>
          <w:vertAlign w:val="subscript"/>
        </w:rPr>
        <w:t xml:space="preserve">i2</w:t>
      </w:r>
      <w:r>
        <w:rPr>
          <w:sz w:val="28"/>
          <w:szCs w:val="28"/>
        </w:rPr>
        <w:t xml:space="preserve"> - объем субсиди</w:t>
      </w:r>
      <w:r>
        <w:rPr>
          <w:sz w:val="28"/>
          <w:szCs w:val="28"/>
        </w:rPr>
        <w:t xml:space="preserve">и 2</w:t>
      </w:r>
      <w:r>
        <w:rPr>
          <w:sz w:val="28"/>
          <w:szCs w:val="28"/>
        </w:rPr>
        <w:t xml:space="preserve"> i-</w:t>
      </w:r>
      <w:r>
        <w:rPr>
          <w:sz w:val="28"/>
          <w:szCs w:val="28"/>
        </w:rPr>
        <w:t xml:space="preserve">му</w:t>
      </w:r>
      <w:r>
        <w:rPr>
          <w:sz w:val="28"/>
          <w:szCs w:val="28"/>
        </w:rPr>
        <w:t xml:space="preserve"> муниципальному образованию из областного бюджета, источником финансового обеспечения которой в том числе являются средства федерального бюджета, в соответствующем финансовом году; </w:t>
      </w:r>
      <w:r>
        <w:rPr>
          <w:sz w:val="28"/>
          <w:szCs w:val="28"/>
        </w:rPr>
      </w:r>
    </w:p>
    <w:p>
      <w:pPr>
        <w:pStyle w:val="933"/>
        <w:ind w:firstLine="540"/>
        <w:jc w:val="both"/>
        <w:spacing w:before="168" w:beforeAutospacing="0" w:after="0" w:afterAutospacing="0" w:line="288" w:lineRule="atLeast"/>
        <w:rPr>
          <w:sz w:val="28"/>
        </w:rPr>
      </w:pPr>
      <w:r>
        <w:rPr>
          <w:sz w:val="28"/>
          <w:szCs w:val="28"/>
        </w:rPr>
        <w:t xml:space="preserve">CC</w:t>
      </w:r>
      <w:r>
        <w:rPr>
          <w:sz w:val="28"/>
          <w:szCs w:val="28"/>
          <w:vertAlign w:val="subscript"/>
        </w:rPr>
        <w:t xml:space="preserve">i2</w:t>
      </w:r>
      <w:r>
        <w:rPr>
          <w:sz w:val="28"/>
        </w:rPr>
        <w:t xml:space="preserve"> - стоимость работ по модернизации муниципальных детских школ искусств путем капитального ремонта i-</w:t>
      </w:r>
      <w:r>
        <w:rPr>
          <w:sz w:val="28"/>
        </w:rPr>
        <w:t xml:space="preserve">го</w:t>
      </w:r>
      <w:r>
        <w:rPr>
          <w:sz w:val="28"/>
        </w:rPr>
        <w:t xml:space="preserve"> муниципального образования в соответствии со сметой; </w:t>
      </w:r>
      <w:r>
        <w:rPr>
          <w:sz w:val="28"/>
        </w:rPr>
      </w:r>
    </w:p>
    <w:p>
      <w:pPr>
        <w:pStyle w:val="933"/>
        <w:ind w:firstLine="540"/>
        <w:jc w:val="both"/>
        <w:spacing w:before="168" w:beforeAutospacing="0" w:after="0" w:afterAutospacing="0" w:line="288" w:lineRule="atLeast"/>
        <w:rPr>
          <w:sz w:val="28"/>
        </w:rPr>
      </w:pPr>
      <w:r>
        <w:rPr>
          <w:sz w:val="28"/>
        </w:rPr>
        <w:t xml:space="preserve">ПСФ</w:t>
      </w:r>
      <w:r>
        <w:rPr>
          <w:sz w:val="18"/>
          <w:szCs w:val="16"/>
          <w:vertAlign w:val="subscript"/>
        </w:rPr>
        <w:t xml:space="preserve">i</w:t>
      </w:r>
      <w:r>
        <w:rPr>
          <w:sz w:val="28"/>
        </w:rPr>
        <w:t xml:space="preserve"> - предельный уровень </w:t>
      </w:r>
      <w:r>
        <w:rPr>
          <w:sz w:val="28"/>
        </w:rPr>
        <w:t xml:space="preserve">софинансирования</w:t>
      </w:r>
      <w:r>
        <w:rPr>
          <w:sz w:val="28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sz w:val="28"/>
        </w:rPr>
        <w:t xml:space="preserve">бласти от 30 августа 2022 года №</w:t>
      </w:r>
      <w:r>
        <w:rPr>
          <w:sz w:val="28"/>
        </w:rPr>
        <w:t xml:space="preserve"> 942-пп "О предельном уровне </w:t>
      </w:r>
      <w:r>
        <w:rPr>
          <w:sz w:val="28"/>
        </w:rPr>
        <w:t xml:space="preserve">софинансирования</w:t>
      </w:r>
      <w:r>
        <w:rPr>
          <w:sz w:val="28"/>
        </w:rPr>
        <w:t xml:space="preserve">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>
        <w:rPr>
          <w:sz w:val="28"/>
        </w:rPr>
        <w:t xml:space="preserve">й области от 20 июня 2016 года №</w:t>
      </w:r>
      <w:r>
        <w:rPr>
          <w:sz w:val="28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>
        <w:rPr>
          <w:sz w:val="28"/>
        </w:rPr>
        <w:t xml:space="preserve">бургской области от 20.06.2016 №</w:t>
      </w:r>
      <w:r>
        <w:rPr>
          <w:sz w:val="28"/>
        </w:rPr>
        <w:t xml:space="preserve"> 430-п). </w:t>
      </w:r>
      <w:r>
        <w:rPr>
          <w:sz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Субсидия 5 предоставляется муниципальным образованиям, прошедшим отбор и з</w:t>
      </w:r>
      <w:r>
        <w:rPr>
          <w:rFonts w:ascii="Times New Roman" w:hAnsi="Times New Roman" w:cs="Times New Roman"/>
          <w:sz w:val="28"/>
          <w:szCs w:val="28"/>
        </w:rPr>
        <w:t xml:space="preserve">аключившим соглашение 1, в случае увеличения в текущем финансовом году сметной стоимости модернизации муниципальных детских школ искусств путем их капитального ремонта объекта муниципальной собственности и представления в министерство следующих документов: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сметы на модернизацию муниципальных детских школ искусств путем их капитального ремонта (с учетом изменений сметной стоимости);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положительного заключения государственной экспертизы о достоверности сметной стоимости либо договора на проведение государственной экспертизы сметной стоимости мо</w:t>
      </w:r>
      <w:r>
        <w:rPr>
          <w:rFonts w:ascii="Times New Roman" w:hAnsi="Times New Roman" w:cs="Times New Roman"/>
          <w:sz w:val="28"/>
          <w:szCs w:val="28"/>
        </w:rPr>
        <w:t xml:space="preserve">дернизации муниципальных детских школ искусств путем их капитального ремонта с приложением письменного обязательства муниципального образования об обеспечении получения положительного заключения государственной экспертизы о достоверности сметной стоимости.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Объем субсидии 5 рассчитывается по формуле: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= CCi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x </w:t>
      </w: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- объем субсидии 5</w:t>
      </w:r>
      <w:r>
        <w:rPr>
          <w:rFonts w:ascii="Times New Roman" w:hAnsi="Times New Roman" w:cs="Times New Roman"/>
          <w:sz w:val="28"/>
          <w:szCs w:val="28"/>
        </w:rPr>
        <w:t xml:space="preserve"> бюджету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текущий год;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CCi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поддержку отрасли культуры на модернизацию муниципальных детских школ искусств путем их капитального ремонта в связи с уточнением сметной стоимости объекта муниципальной собственности;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rFonts w:ascii="Times New Roman" w:hAnsi="Times New Roman" w:cs="Times New Roman"/>
          <w:sz w:val="28"/>
          <w:szCs w:val="28"/>
        </w:rPr>
        <w:t xml:space="preserve">бласти от 30 августа 2022 года №</w:t>
      </w:r>
      <w:r>
        <w:rPr>
          <w:rFonts w:ascii="Times New Roman" w:hAnsi="Times New Roman" w:cs="Times New Roman"/>
          <w:sz w:val="28"/>
          <w:szCs w:val="28"/>
        </w:rPr>
        <w:t xml:space="preserve"> 942-пп "О предельном уровне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Оренбургской области", в порядке, определенном постановлением Правительства Оренбургской области от 20 июня 2016 года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Оренбургской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от 20.06.2016 №</w:t>
      </w:r>
      <w:r>
        <w:rPr>
          <w:rFonts w:ascii="Times New Roman" w:hAnsi="Times New Roman" w:cs="Times New Roman"/>
          <w:sz w:val="28"/>
          <w:szCs w:val="28"/>
        </w:rPr>
        <w:t xml:space="preserve"> 430-п).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Объем субсидии 3 рассчитывается по формуле: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= Si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x </w:t>
      </w: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- объем субсидии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бюджету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областного бюджета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средствах на модернизацию муниципальных музеев путем проведения капитального ремонта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области от 30 августа 2022 года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942-пп "О предельном уровне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>
        <w:rPr>
          <w:rFonts w:ascii="Times New Roman" w:hAnsi="Times New Roman" w:cs="Times New Roman"/>
          <w:sz w:val="28"/>
          <w:szCs w:val="28"/>
        </w:rPr>
        <w:t xml:space="preserve">й области от 20 июня 2016 года №</w:t>
      </w:r>
      <w:r>
        <w:rPr>
          <w:rFonts w:ascii="Times New Roman" w:hAnsi="Times New Roman" w:cs="Times New Roman"/>
          <w:sz w:val="28"/>
          <w:szCs w:val="28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>
        <w:rPr>
          <w:rFonts w:ascii="Times New Roman" w:hAnsi="Times New Roman" w:cs="Times New Roman"/>
          <w:sz w:val="28"/>
          <w:szCs w:val="28"/>
        </w:rPr>
        <w:t xml:space="preserve">бургской области от 20.06.2016 №</w:t>
      </w:r>
      <w:r>
        <w:rPr>
          <w:rFonts w:ascii="Times New Roman" w:hAnsi="Times New Roman" w:cs="Times New Roman"/>
          <w:sz w:val="28"/>
          <w:szCs w:val="28"/>
        </w:rPr>
        <w:t xml:space="preserve"> 430-п).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Объем субсидии 4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 = Si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 x </w:t>
      </w: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Оi</w:t>
      </w:r>
      <w:r>
        <w:rPr>
          <w:rFonts w:ascii="Times New Roman" w:hAnsi="Times New Roman" w:cs="Times New Roman"/>
          <w:sz w:val="28"/>
          <w:szCs w:val="28"/>
        </w:rPr>
        <w:t xml:space="preserve"> - объем субсидии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бюджету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областного бюджета на очередной финансовый год и на плановый период;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</w:t>
      </w:r>
      <w:r>
        <w:rPr>
          <w:rFonts w:ascii="Times New Roman" w:hAnsi="Times New Roman" w:cs="Times New Roman"/>
          <w:sz w:val="28"/>
          <w:szCs w:val="28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модернизацию учреждений культурно-досугового типа в населенных пунктах с численностью до 500 тыс. человек, предусмотренный в заявке, представленной муниципальным образованием в Министерство культуры Российской Федерации;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rFonts w:ascii="Times New Roman" w:hAnsi="Times New Roman" w:cs="Times New Roman"/>
          <w:sz w:val="28"/>
          <w:szCs w:val="28"/>
        </w:rPr>
        <w:t xml:space="preserve">бласти от 30 августа 2022 года №</w:t>
      </w:r>
      <w:r>
        <w:rPr>
          <w:rFonts w:ascii="Times New Roman" w:hAnsi="Times New Roman" w:cs="Times New Roman"/>
          <w:sz w:val="28"/>
          <w:szCs w:val="28"/>
        </w:rPr>
        <w:t xml:space="preserve"> 942-пп «О предельном уровне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Оренбургской области», в порядке, определенном постановлением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Оренбургской области от 20 июня 2016 года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 (далее – постановление Правительства Оренбургской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от 20.06.2016 № 430-п).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Субсидия 6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муниципальным образованиям, прошедшим отбор в Министерстве культуры Российской Федерации и заключившим </w:t>
      </w:r>
      <w:r>
        <w:rPr>
          <w:rFonts w:ascii="Times New Roman" w:hAnsi="Times New Roman" w:cs="Times New Roman"/>
          <w:sz w:val="28"/>
          <w:szCs w:val="28"/>
        </w:rPr>
        <w:t xml:space="preserve">соглашение 1, при условии увеличения сметной стоимости капитального ремонта объекта муниципальной собственности по результатам государственной экспертизы проектно-сметной документации и результатов инженерных изысканий и (или) изменения проектной мощности.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Объем субсидии 6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Ci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CCi</w:t>
      </w:r>
      <w:r>
        <w:rPr>
          <w:rFonts w:ascii="Times New Roman" w:hAnsi="Times New Roman" w:cs="Times New Roman"/>
          <w:sz w:val="28"/>
          <w:szCs w:val="28"/>
        </w:rPr>
        <w:t xml:space="preserve"> x </w:t>
      </w: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Ci</w:t>
      </w:r>
      <w:r>
        <w:rPr>
          <w:rFonts w:ascii="Times New Roman" w:hAnsi="Times New Roman" w:cs="Times New Roman"/>
          <w:sz w:val="28"/>
          <w:szCs w:val="28"/>
        </w:rPr>
        <w:t xml:space="preserve"> - объем субсидии бюджету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текущий год;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CCi</w:t>
      </w:r>
      <w:r>
        <w:rPr>
          <w:rFonts w:ascii="Times New Roman" w:hAnsi="Times New Roman" w:cs="Times New Roman"/>
          <w:sz w:val="28"/>
          <w:szCs w:val="28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модернизацию учреждений культурно-досугового типа в населенных пунктах с численностью до 5</w:t>
      </w:r>
      <w:r>
        <w:rPr>
          <w:rFonts w:ascii="Times New Roman" w:hAnsi="Times New Roman" w:cs="Times New Roman"/>
          <w:sz w:val="28"/>
          <w:szCs w:val="28"/>
        </w:rPr>
        <w:t xml:space="preserve">00 тыс. человек в связи с уточнением сметной стоимости капитального ремонта объекта муниципальной собственности по результатам государственной экспертизы проектно-сметной документации и результатов инженерных изысканий и (или) изменения проектной мощности;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Pi</w:t>
      </w:r>
      <w:r>
        <w:rPr>
          <w:rFonts w:ascii="Times New Roman" w:hAnsi="Times New Roman" w:cs="Times New Roman"/>
          <w:sz w:val="28"/>
          <w:szCs w:val="28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области от 30 августа 2022 года № 942-пп «О предельном уровне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Оренбургской области», в порядке, определенном постановлением Правительства Оренбургской области от 20 июня</w:t>
      </w:r>
      <w:r>
        <w:rPr>
          <w:rFonts w:ascii="Times New Roman" w:hAnsi="Times New Roman" w:cs="Times New Roman"/>
          <w:sz w:val="28"/>
          <w:szCs w:val="28"/>
        </w:rPr>
        <w:t xml:space="preserve"> 2016 года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 (далее – постановление Правительства Оренбургской области от 20.06.2016 № 430-п).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Муниципальные образования определяют объемы финансовых средств, направляемых из местных бюджетов на финансирование мероприятий, предусмотренных пунктом 4 настоящих Правил, с учетом установленного уровня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из областного бюджета.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ассигнований, предусмотренных в бюджете муниципального образования на финансовое обеспечение расходного обязательства, в целях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которого предоставляются субсидии, может быть увеличен в одностороннем порядке муниципальным образованием, что не влечет обязательств по увеличению размера субсидии из областного бюджета.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 w:cs="Times New Roman"/>
          <w:sz w:val="28"/>
          <w:szCs w:val="28"/>
        </w:rPr>
        <w:t xml:space="preserve">. Распределение субсидии 1</w:t>
      </w:r>
      <w:r>
        <w:rPr>
          <w:rFonts w:ascii="Times New Roman" w:hAnsi="Times New Roman" w:cs="Times New Roman"/>
          <w:sz w:val="28"/>
          <w:szCs w:val="28"/>
        </w:rPr>
        <w:t xml:space="preserve">, 2, 3, </w:t>
      </w:r>
      <w:r>
        <w:rPr>
          <w:rFonts w:ascii="Times New Roman" w:hAnsi="Times New Roman" w:cs="Times New Roman"/>
          <w:sz w:val="28"/>
          <w:szCs w:val="28"/>
        </w:rPr>
        <w:t xml:space="preserve">4 между</w:t>
      </w:r>
      <w:r>
        <w:rPr>
          <w:rFonts w:ascii="Times New Roman" w:hAnsi="Times New Roman" w:cs="Times New Roman"/>
          <w:sz w:val="28"/>
          <w:szCs w:val="28"/>
        </w:rPr>
        <w:t xml:space="preserve"> бюджетами муниципальных образований осуществляется на очередной финансовый год и утверждается законом Оренбургской области об областном бюджете на соответствующий финансовый год.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</w:t>
      </w:r>
      <w:r>
        <w:rPr>
          <w:rFonts w:ascii="Times New Roman" w:hAnsi="Times New Roman" w:cs="Times New Roman"/>
          <w:sz w:val="28"/>
          <w:szCs w:val="28"/>
        </w:rPr>
        <w:t xml:space="preserve">пределение субсидии 5, 6</w:t>
      </w:r>
      <w:r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</w:t>
      </w:r>
      <w:r>
        <w:rPr>
          <w:rFonts w:ascii="Times New Roman" w:hAnsi="Times New Roman" w:cs="Times New Roman"/>
          <w:sz w:val="28"/>
          <w:szCs w:val="28"/>
        </w:rPr>
        <w:t xml:space="preserve">. Изменение расп</w:t>
      </w:r>
      <w:r>
        <w:rPr>
          <w:rFonts w:ascii="Times New Roman" w:hAnsi="Times New Roman" w:cs="Times New Roman"/>
          <w:sz w:val="28"/>
          <w:szCs w:val="28"/>
        </w:rPr>
        <w:t xml:space="preserve">ределения субсидий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В случае выделения в текущем году дополнительного объема бюджетных ассигнований на предоставление субсидий распределение дополнительного объема (изменение распределения) субсидий между муниципальными образования</w:t>
      </w:r>
      <w:r>
        <w:rPr>
          <w:rFonts w:ascii="Times New Roman" w:hAnsi="Times New Roman" w:cs="Times New Roman"/>
          <w:sz w:val="28"/>
          <w:szCs w:val="28"/>
        </w:rPr>
        <w:t xml:space="preserve">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период, в случае если это предусмотрено указанным законом.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В целях заключения соглашений 1</w:t>
      </w:r>
      <w:r>
        <w:rPr>
          <w:rFonts w:ascii="Times New Roman" w:hAnsi="Times New Roman" w:cs="Times New Roman"/>
          <w:sz w:val="28"/>
          <w:szCs w:val="28"/>
        </w:rPr>
        <w:t xml:space="preserve">, 2 муниципальным образованием представляется выписка из решения о бюджете муниципального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(сводной бюджетной росписи расходов муниципального образования), подтверждающая наличие в местном бюджете средств на финансирование мероприятий, предусмотренных пунктом 4 настоящих Правил, в объеме, достаточном для соблюдения установленного уровня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из областного бюджета.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Соглашения 1, 2 заключаются на срок, который не может быть менее срока, на который в установленном порядке утверждено распределение субсидии между муниципальными образованиями.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соглашения 1, 2 осуществляется в соответствии с требованиями постановления Правительства Оренбургской области от 20.06.2016 № 430-п.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</w:t>
      </w:r>
      <w:r>
        <w:rPr>
          <w:rFonts w:ascii="Times New Roman" w:hAnsi="Times New Roman" w:cs="Times New Roman"/>
          <w:sz w:val="28"/>
          <w:szCs w:val="28"/>
        </w:rPr>
        <w:t xml:space="preserve">. Перечисление субсидий осуществляется на основании соглашений 1, 2 и настоящих Правил территориальным органом Федерального казначейства в соответствии с переданны</w:t>
      </w:r>
      <w:r>
        <w:rPr>
          <w:rFonts w:ascii="Times New Roman" w:hAnsi="Times New Roman" w:cs="Times New Roman"/>
          <w:sz w:val="28"/>
          <w:szCs w:val="28"/>
        </w:rPr>
        <w:t xml:space="preserve">ми ему полномочиями получателя средств областного бюджета по перечислению субсидии в порядке, установленном Федеральным казначейством, после проведения санкционирования оплаты денежных обязательств по расходам получателей средств местного бюджета, в целях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пределах лимитов бюджетных обязательств.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</w:t>
      </w:r>
      <w:r>
        <w:rPr>
          <w:rFonts w:ascii="Times New Roman" w:hAnsi="Times New Roman" w:cs="Times New Roman"/>
          <w:sz w:val="28"/>
          <w:szCs w:val="28"/>
        </w:rPr>
        <w:t xml:space="preserve">. Результат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субсидий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1 – «Проведена модернизация региональных и муниципальных библиотек»;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2 – «Проведена модернизация региональных и муниципальных детских школ искусств»;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3 – «Проведена модернизация музеев, находящихся в региональной и муниципальной собственности»;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 – «Проведена модернизация учреждений культурно-досугового типа в населенных пунктах с </w:t>
      </w:r>
      <w:r>
        <w:rPr>
          <w:rFonts w:ascii="Times New Roman" w:hAnsi="Times New Roman" w:cs="Times New Roman"/>
          <w:sz w:val="28"/>
          <w:szCs w:val="28"/>
        </w:rPr>
        <w:t xml:space="preserve">численностью до 500 тыс. чел.</w:t>
      </w:r>
      <w:r>
        <w:rPr>
          <w:rFonts w:ascii="Times New Roman" w:hAnsi="Times New Roman" w:cs="Times New Roman"/>
          <w:sz w:val="28"/>
          <w:szCs w:val="28"/>
        </w:rPr>
        <w:t xml:space="preserve">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ind w:firstLine="540"/>
        <w:jc w:val="both"/>
        <w:spacing w:before="0" w:beforeAutospacing="0" w:after="0" w:afterAutospacing="0" w:line="288" w:lineRule="atLeast"/>
        <w:rPr>
          <w:sz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субсидия 5 - </w:t>
      </w:r>
      <w:r>
        <w:t xml:space="preserve"> </w:t>
      </w:r>
      <w:r>
        <w:rPr>
          <w:sz w:val="28"/>
        </w:rPr>
        <w:t xml:space="preserve">"Реализованы мероприятия по завершению строительства и модернизации муниципальных детских школ искусств"</w:t>
      </w:r>
      <w:r>
        <w:rPr>
          <w:sz w:val="28"/>
        </w:rPr>
        <w:t xml:space="preserve">;</w:t>
      </w:r>
      <w:r>
        <w:rPr>
          <w:sz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6</w:t>
      </w:r>
      <w:r>
        <w:rPr>
          <w:rFonts w:ascii="Times New Roman" w:hAnsi="Times New Roman" w:cs="Times New Roman"/>
          <w:sz w:val="28"/>
          <w:szCs w:val="28"/>
        </w:rPr>
        <w:t xml:space="preserve"> – «Реализованы мероприятия по завершению модернизации учреждений культурно-досугового типа в населенных пунктах с численностью до 500 тыс. человек».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результатов использования субсидий устанавливается соглашениями 1, 2.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</w:t>
      </w:r>
      <w:r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 образованием субсидий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</w:rPr>
        <w:t xml:space="preserve"> ежегодно в соответствии с постановлением Правительства Оренбургской области от 28 апреля 2011 года № 279-п «Об утверждении порядка разработки, реализации и оценки эффективности го</w:t>
      </w:r>
      <w:r>
        <w:rPr>
          <w:rFonts w:ascii="Times New Roman" w:hAnsi="Times New Roman" w:cs="Times New Roman"/>
          <w:sz w:val="28"/>
          <w:szCs w:val="28"/>
        </w:rPr>
        <w:t xml:space="preserve">сударственных программ Оренбургской области» на основании отчетов муниципальных образований о достижении значений результата использования субсидии путем сравнения фактически достигнутых результатов с плановыми значениями, установленными соглашениями 1, 2.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предоставленных субсидий считается эффективным, если фактически достигнутые значения равны плановым значениям, установленным соглашениями 1, 2.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Муниципальные образования представляют в </w:t>
      </w:r>
      <w:r>
        <w:rPr>
          <w:rFonts w:ascii="Times New Roman" w:hAnsi="Times New Roman" w:cs="Times New Roman"/>
          <w:sz w:val="28"/>
          <w:szCs w:val="28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</w:rPr>
        <w:t xml:space="preserve"> в порядке и в сроки, установленные соглашениями 1, 2, следующие отчеты: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осуществлении расходов бюджета муниципального образования, в целях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достижении значения результата использования субсидии.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2" w:name="P609"/>
      <w:r/>
      <w:bookmarkEnd w:id="2"/>
      <w:r>
        <w:rPr>
          <w:rFonts w:ascii="Times New Roman" w:hAnsi="Times New Roman" w:cs="Times New Roman"/>
          <w:sz w:val="28"/>
          <w:szCs w:val="28"/>
        </w:rPr>
        <w:t xml:space="preserve">33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соблюдением муниципальными образованиями условий и порядка предоставления субсидий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</w:rPr>
        <w:t xml:space="preserve"> и органами финансового контроля в соответствии с установленными полномочиями.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3" w:name="P610"/>
      <w:r/>
      <w:bookmarkEnd w:id="3"/>
      <w:r>
        <w:rPr>
          <w:rFonts w:ascii="Times New Roman" w:hAnsi="Times New Roman" w:cs="Times New Roman"/>
          <w:sz w:val="28"/>
          <w:szCs w:val="28"/>
        </w:rPr>
        <w:t xml:space="preserve">34</w:t>
      </w:r>
      <w:r>
        <w:rPr>
          <w:rFonts w:ascii="Times New Roman" w:hAnsi="Times New Roman" w:cs="Times New Roman"/>
          <w:sz w:val="28"/>
          <w:szCs w:val="28"/>
        </w:rPr>
        <w:t xml:space="preserve">. Не использованные на 1 января очередного финансового года остатки средств субсидий подлежат возврату в областной бюджет в соответствии с требованиями, установленными Бюджетным кодексом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</w:t>
      </w:r>
      <w:r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31-е декабря года предоставления субсидий допущены нарушения условий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, не достигнуто значение резул</w:t>
      </w:r>
      <w:r>
        <w:rPr>
          <w:rFonts w:ascii="Times New Roman" w:hAnsi="Times New Roman" w:cs="Times New Roman"/>
          <w:sz w:val="28"/>
          <w:szCs w:val="28"/>
        </w:rPr>
        <w:t xml:space="preserve">ьтата использования субсидии, установленного соглашениями 1, 2, муниципальное образование обязано осуществить возврат средств в областной бюджет в порядке и сроки, которые установлены постановлением Правительства Оренбургской области от 20.06.2016 № 430-п.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</w:t>
      </w:r>
      <w:r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обязанность по возврату средств в об</w:t>
      </w:r>
      <w:r>
        <w:rPr>
          <w:rFonts w:ascii="Times New Roman" w:hAnsi="Times New Roman" w:cs="Times New Roman"/>
          <w:sz w:val="28"/>
          <w:szCs w:val="28"/>
        </w:rPr>
        <w:t xml:space="preserve">ластной бюджет вследствие неисполнения обязательств по соглашениям 1, 2 о предоставлении субсидии не исполнена (частично исполнена) и основание для освобождения от применения мер ответственности, предусмотренных постановлением Правительства Оренбургской об</w:t>
      </w:r>
      <w:r>
        <w:rPr>
          <w:rFonts w:ascii="Times New Roman" w:hAnsi="Times New Roman" w:cs="Times New Roman"/>
          <w:sz w:val="28"/>
          <w:szCs w:val="28"/>
        </w:rPr>
        <w:t xml:space="preserve">ласти от 20.06.2016 № 430-п, отсутствует, субсидии на те же цели в очередном финансовом году такому муниципальному образованию не предоставляются до момента исполнения муниципальным образованием обязанности по возврату указанных средств в областной бюджет.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</w:t>
      </w:r>
      <w:r>
        <w:rPr>
          <w:rFonts w:ascii="Times New Roman" w:hAnsi="Times New Roman" w:cs="Times New Roman"/>
          <w:sz w:val="28"/>
          <w:szCs w:val="28"/>
        </w:rPr>
        <w:t xml:space="preserve">. В случае несоблюдения условий и порядка предоставления субсидий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</w:t>
      </w:r>
      <w:r>
        <w:rPr>
          <w:rFonts w:ascii="Times New Roman" w:hAnsi="Times New Roman" w:cs="Times New Roman"/>
          <w:sz w:val="28"/>
          <w:szCs w:val="28"/>
        </w:rPr>
        <w:t xml:space="preserve">. Средства, указанные в </w:t>
      </w:r>
      <w:r>
        <w:rPr>
          <w:rFonts w:ascii="Times New Roman" w:hAnsi="Times New Roman" w:cs="Times New Roman"/>
          <w:sz w:val="28"/>
          <w:szCs w:val="28"/>
        </w:rPr>
        <w:t xml:space="preserve">пункте 34</w:t>
      </w:r>
      <w:r>
        <w:rPr>
          <w:rFonts w:ascii="Times New Roman" w:hAnsi="Times New Roman" w:cs="Times New Roman"/>
          <w:sz w:val="28"/>
          <w:szCs w:val="28"/>
        </w:rPr>
        <w:t xml:space="preserve"> настоящих Правил, подлежат возврату в областной бюджет на счет 03100 «Средства поступлений, являющихся </w:t>
      </w:r>
      <w:r>
        <w:rPr>
          <w:rFonts w:ascii="Times New Roman" w:hAnsi="Times New Roman" w:cs="Times New Roman"/>
          <w:sz w:val="28"/>
          <w:szCs w:val="28"/>
        </w:rPr>
        <w:t xml:space="preserve">источниками формирования доходов бюджетов бюджетной системы Российской Федерации».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9</w:t>
      </w:r>
      <w:r>
        <w:rPr>
          <w:rFonts w:ascii="Times New Roman" w:hAnsi="Times New Roman" w:cs="Times New Roman"/>
          <w:sz w:val="28"/>
          <w:szCs w:val="28"/>
        </w:rPr>
        <w:t xml:space="preserve">. В случае невозврата получателем средств, указанных в пунктах</w:t>
      </w:r>
      <w:r>
        <w:rPr>
          <w:rFonts w:ascii="Times New Roman" w:hAnsi="Times New Roman" w:cs="Times New Roman"/>
          <w:sz w:val="28"/>
          <w:szCs w:val="28"/>
        </w:rPr>
        <w:t xml:space="preserve"> 34, 35</w:t>
      </w:r>
      <w:r>
        <w:rPr>
          <w:rFonts w:ascii="Times New Roman" w:hAnsi="Times New Roman" w:cs="Times New Roman"/>
          <w:sz w:val="28"/>
          <w:szCs w:val="28"/>
        </w:rPr>
        <w:t xml:space="preserve"> настоящих Правил, в установленный срок их взыскание осуществляется в соответствии с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</w:t>
      </w:r>
      <w:r>
        <w:rPr>
          <w:rFonts w:ascii="Times New Roman" w:hAnsi="Times New Roman" w:cs="Times New Roman"/>
          <w:sz w:val="28"/>
          <w:szCs w:val="28"/>
        </w:rPr>
        <w:t xml:space="preserve">. Ответственность за достоверность информации, содержащейся в документах, представляемых в </w:t>
      </w:r>
      <w:r>
        <w:rPr>
          <w:rFonts w:ascii="Times New Roman" w:hAnsi="Times New Roman" w:cs="Times New Roman"/>
          <w:sz w:val="28"/>
          <w:szCs w:val="28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 в соответствии с настоящими Правилами, возлагается на органы местного самоуправления муниципальных образований.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7" w:h="16840" w:orient="portrait"/>
      <w:pgMar w:top="567" w:right="851" w:bottom="851" w:left="1134" w:header="397" w:footer="39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rPr>
        <w:rStyle w:val="918"/>
      </w:rPr>
      <w:framePr w:wrap="auto" w:vAnchor="text" w:hAnchor="margin" w:xAlign="right" w:y="1"/>
    </w:pPr>
    <w:r>
      <w:rPr>
        <w:rStyle w:val="918"/>
      </w:rPr>
      <w:t xml:space="preserve"> </w:t>
    </w:r>
    <w:r>
      <w:rPr>
        <w:rStyle w:val="918"/>
      </w:rPr>
    </w:r>
  </w:p>
  <w:p>
    <w:pPr>
      <w:pStyle w:val="91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69971125"/>
      <w:docPartObj>
        <w:docPartGallery w:val="Page Numbers (Top of Page)"/>
        <w:docPartUnique w:val="true"/>
      </w:docPartObj>
      <w:rPr/>
    </w:sdtPr>
    <w:sdtContent>
      <w:p>
        <w:pPr>
          <w:pStyle w:val="9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10</w:t>
        </w:r>
        <w:r>
          <w:fldChar w:fldCharType="end"/>
        </w:r>
        <w:r/>
      </w:p>
    </w:sdtContent>
  </w:sdt>
  <w:p>
    <w:pPr>
      <w:pStyle w:val="91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/>
    <w:r/>
  </w:p>
  <w:p>
    <w:pPr>
      <w:pStyle w:val="91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881" w:hanging="52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1" w:default="1">
    <w:name w:val="Normal"/>
    <w:qFormat/>
  </w:style>
  <w:style w:type="paragraph" w:styleId="722">
    <w:name w:val="Heading 1"/>
    <w:basedOn w:val="721"/>
    <w:next w:val="721"/>
    <w:link w:val="7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3">
    <w:name w:val="Heading 2"/>
    <w:basedOn w:val="721"/>
    <w:next w:val="721"/>
    <w:link w:val="7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4">
    <w:name w:val="Heading 3"/>
    <w:basedOn w:val="721"/>
    <w:next w:val="721"/>
    <w:link w:val="75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5">
    <w:name w:val="Heading 4"/>
    <w:basedOn w:val="721"/>
    <w:next w:val="721"/>
    <w:link w:val="7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721"/>
    <w:next w:val="721"/>
    <w:link w:val="7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721"/>
    <w:next w:val="721"/>
    <w:link w:val="7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28">
    <w:name w:val="Heading 7"/>
    <w:basedOn w:val="721"/>
    <w:next w:val="721"/>
    <w:link w:val="7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29">
    <w:name w:val="Heading 8"/>
    <w:basedOn w:val="721"/>
    <w:next w:val="721"/>
    <w:link w:val="7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0">
    <w:name w:val="Heading 9"/>
    <w:basedOn w:val="721"/>
    <w:next w:val="721"/>
    <w:link w:val="7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character" w:styleId="734" w:customStyle="1">
    <w:name w:val="Heading 1 Char"/>
    <w:basedOn w:val="731"/>
    <w:uiPriority w:val="9"/>
    <w:rPr>
      <w:rFonts w:ascii="Arial" w:hAnsi="Arial" w:eastAsia="Arial" w:cs="Arial"/>
      <w:sz w:val="40"/>
      <w:szCs w:val="40"/>
    </w:rPr>
  </w:style>
  <w:style w:type="character" w:styleId="735" w:customStyle="1">
    <w:name w:val="Heading 2 Char"/>
    <w:basedOn w:val="731"/>
    <w:uiPriority w:val="9"/>
    <w:rPr>
      <w:rFonts w:ascii="Arial" w:hAnsi="Arial" w:eastAsia="Arial" w:cs="Arial"/>
      <w:sz w:val="34"/>
    </w:rPr>
  </w:style>
  <w:style w:type="character" w:styleId="736" w:customStyle="1">
    <w:name w:val="Heading 3 Char"/>
    <w:basedOn w:val="731"/>
    <w:uiPriority w:val="9"/>
    <w:rPr>
      <w:rFonts w:ascii="Arial" w:hAnsi="Arial" w:eastAsia="Arial" w:cs="Arial"/>
      <w:sz w:val="30"/>
      <w:szCs w:val="30"/>
    </w:rPr>
  </w:style>
  <w:style w:type="character" w:styleId="737" w:customStyle="1">
    <w:name w:val="Heading 4 Char"/>
    <w:basedOn w:val="731"/>
    <w:uiPriority w:val="9"/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Heading 5 Char"/>
    <w:basedOn w:val="731"/>
    <w:uiPriority w:val="9"/>
    <w:rPr>
      <w:rFonts w:ascii="Arial" w:hAnsi="Arial" w:eastAsia="Arial" w:cs="Arial"/>
      <w:b/>
      <w:bCs/>
      <w:sz w:val="24"/>
      <w:szCs w:val="24"/>
    </w:rPr>
  </w:style>
  <w:style w:type="character" w:styleId="739" w:customStyle="1">
    <w:name w:val="Heading 6 Char"/>
    <w:basedOn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740" w:customStyle="1">
    <w:name w:val="Heading 7 Char"/>
    <w:basedOn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 w:customStyle="1">
    <w:name w:val="Heading 8 Char"/>
    <w:basedOn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742" w:customStyle="1">
    <w:name w:val="Heading 9 Char"/>
    <w:basedOn w:val="731"/>
    <w:uiPriority w:val="9"/>
    <w:rPr>
      <w:rFonts w:ascii="Arial" w:hAnsi="Arial" w:eastAsia="Arial" w:cs="Arial"/>
      <w:i/>
      <w:iCs/>
      <w:sz w:val="21"/>
      <w:szCs w:val="21"/>
    </w:rPr>
  </w:style>
  <w:style w:type="character" w:styleId="743" w:customStyle="1">
    <w:name w:val="Title Char"/>
    <w:basedOn w:val="731"/>
    <w:uiPriority w:val="10"/>
    <w:rPr>
      <w:sz w:val="48"/>
      <w:szCs w:val="48"/>
    </w:rPr>
  </w:style>
  <w:style w:type="character" w:styleId="744" w:customStyle="1">
    <w:name w:val="Subtitle Char"/>
    <w:basedOn w:val="731"/>
    <w:uiPriority w:val="11"/>
    <w:rPr>
      <w:sz w:val="24"/>
      <w:szCs w:val="24"/>
    </w:rPr>
  </w:style>
  <w:style w:type="character" w:styleId="745" w:customStyle="1">
    <w:name w:val="Quote Char"/>
    <w:uiPriority w:val="29"/>
    <w:rPr>
      <w:i/>
    </w:rPr>
  </w:style>
  <w:style w:type="character" w:styleId="746" w:customStyle="1">
    <w:name w:val="Intense Quote Char"/>
    <w:uiPriority w:val="30"/>
    <w:rPr>
      <w:i/>
    </w:rPr>
  </w:style>
  <w:style w:type="character" w:styleId="747" w:customStyle="1">
    <w:name w:val="Caption Char"/>
    <w:basedOn w:val="731"/>
    <w:uiPriority w:val="35"/>
    <w:rPr>
      <w:b/>
      <w:bCs/>
      <w:color w:val="5b9bd5" w:themeColor="accent1"/>
      <w:sz w:val="18"/>
      <w:szCs w:val="18"/>
    </w:rPr>
  </w:style>
  <w:style w:type="character" w:styleId="748" w:customStyle="1">
    <w:name w:val="Footnote Text Char"/>
    <w:uiPriority w:val="99"/>
    <w:rPr>
      <w:sz w:val="18"/>
    </w:rPr>
  </w:style>
  <w:style w:type="character" w:styleId="749" w:customStyle="1">
    <w:name w:val="Endnote Text Char"/>
    <w:uiPriority w:val="99"/>
    <w:rPr>
      <w:sz w:val="20"/>
    </w:rPr>
  </w:style>
  <w:style w:type="character" w:styleId="750" w:customStyle="1">
    <w:name w:val="Заголовок 1 Знак"/>
    <w:basedOn w:val="731"/>
    <w:link w:val="722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Заголовок 2 Знак"/>
    <w:basedOn w:val="731"/>
    <w:link w:val="723"/>
    <w:uiPriority w:val="9"/>
    <w:rPr>
      <w:rFonts w:ascii="Arial" w:hAnsi="Arial" w:eastAsia="Arial" w:cs="Arial"/>
      <w:sz w:val="34"/>
    </w:rPr>
  </w:style>
  <w:style w:type="character" w:styleId="752" w:customStyle="1">
    <w:name w:val="Заголовок 3 Знак"/>
    <w:basedOn w:val="731"/>
    <w:link w:val="724"/>
    <w:uiPriority w:val="9"/>
    <w:rPr>
      <w:rFonts w:ascii="Arial" w:hAnsi="Arial" w:eastAsia="Arial" w:cs="Arial"/>
      <w:sz w:val="30"/>
      <w:szCs w:val="30"/>
    </w:rPr>
  </w:style>
  <w:style w:type="character" w:styleId="753" w:customStyle="1">
    <w:name w:val="Заголовок 4 Знак"/>
    <w:basedOn w:val="731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Заголовок 5 Знак"/>
    <w:basedOn w:val="731"/>
    <w:link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Заголовок 6 Знак"/>
    <w:basedOn w:val="731"/>
    <w:link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Заголовок 7 Знак"/>
    <w:basedOn w:val="731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Заголовок 8 Знак"/>
    <w:basedOn w:val="731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Заголовок 9 Знак"/>
    <w:basedOn w:val="731"/>
    <w:link w:val="730"/>
    <w:uiPriority w:val="9"/>
    <w:rPr>
      <w:rFonts w:ascii="Arial" w:hAnsi="Arial" w:eastAsia="Arial" w:cs="Arial"/>
      <w:i/>
      <w:iCs/>
      <w:sz w:val="21"/>
      <w:szCs w:val="21"/>
    </w:rPr>
  </w:style>
  <w:style w:type="paragraph" w:styleId="759">
    <w:name w:val="Title"/>
    <w:basedOn w:val="721"/>
    <w:next w:val="721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 w:customStyle="1">
    <w:name w:val="Название Знак"/>
    <w:basedOn w:val="731"/>
    <w:link w:val="759"/>
    <w:uiPriority w:val="10"/>
    <w:rPr>
      <w:sz w:val="48"/>
      <w:szCs w:val="48"/>
    </w:rPr>
  </w:style>
  <w:style w:type="paragraph" w:styleId="761">
    <w:name w:val="Subtitle"/>
    <w:basedOn w:val="721"/>
    <w:next w:val="721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 w:customStyle="1">
    <w:name w:val="Подзаголовок Знак"/>
    <w:basedOn w:val="731"/>
    <w:link w:val="761"/>
    <w:uiPriority w:val="11"/>
    <w:rPr>
      <w:sz w:val="24"/>
      <w:szCs w:val="24"/>
    </w:rPr>
  </w:style>
  <w:style w:type="paragraph" w:styleId="763">
    <w:name w:val="Quote"/>
    <w:basedOn w:val="721"/>
    <w:next w:val="721"/>
    <w:link w:val="764"/>
    <w:uiPriority w:val="29"/>
    <w:qFormat/>
    <w:pPr>
      <w:ind w:left="720" w:right="720"/>
    </w:pPr>
    <w:rPr>
      <w:i/>
    </w:rPr>
  </w:style>
  <w:style w:type="character" w:styleId="764" w:customStyle="1">
    <w:name w:val="Цитата 2 Знак"/>
    <w:link w:val="763"/>
    <w:uiPriority w:val="29"/>
    <w:rPr>
      <w:i/>
    </w:rPr>
  </w:style>
  <w:style w:type="paragraph" w:styleId="765">
    <w:name w:val="Intense Quote"/>
    <w:basedOn w:val="721"/>
    <w:next w:val="721"/>
    <w:link w:val="76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 w:customStyle="1">
    <w:name w:val="Выделенная цитата Знак"/>
    <w:link w:val="765"/>
    <w:uiPriority w:val="30"/>
    <w:rPr>
      <w:i/>
    </w:rPr>
  </w:style>
  <w:style w:type="character" w:styleId="767" w:customStyle="1">
    <w:name w:val="Header Char"/>
    <w:basedOn w:val="731"/>
    <w:uiPriority w:val="99"/>
  </w:style>
  <w:style w:type="character" w:styleId="768" w:customStyle="1">
    <w:name w:val="Footer Char"/>
    <w:basedOn w:val="731"/>
    <w:uiPriority w:val="99"/>
  </w:style>
  <w:style w:type="paragraph" w:styleId="769">
    <w:name w:val="Caption"/>
    <w:basedOn w:val="721"/>
    <w:next w:val="721"/>
    <w:link w:val="77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0" w:customStyle="1">
    <w:name w:val="Название объекта Знак"/>
    <w:basedOn w:val="731"/>
    <w:link w:val="769"/>
    <w:uiPriority w:val="35"/>
    <w:rPr>
      <w:b/>
      <w:bCs/>
      <w:color w:val="5b9bd5" w:themeColor="accent1"/>
      <w:sz w:val="18"/>
      <w:szCs w:val="18"/>
    </w:rPr>
  </w:style>
  <w:style w:type="table" w:styleId="771" w:customStyle="1">
    <w:name w:val="Table Grid Light"/>
    <w:basedOn w:val="73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2">
    <w:name w:val="Plain Table 1"/>
    <w:basedOn w:val="73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basedOn w:val="73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7">
    <w:name w:val="Grid Table 1 Light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 w:customStyle="1">
    <w:name w:val="Grid Table 4 - Accent 1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0" w:customStyle="1">
    <w:name w:val="Grid Table 4 - Accent 2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Grid Table 4 - Accent 3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2" w:customStyle="1">
    <w:name w:val="Grid Table 4 - Accent 4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Grid Table 4 - Accent 5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4" w:customStyle="1">
    <w:name w:val="Grid Table 4 - Accent 6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5">
    <w:name w:val="Grid Table 5 Dark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2">
    <w:name w:val="Grid Table 6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3" w:customStyle="1">
    <w:name w:val="Grid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4" w:customStyle="1">
    <w:name w:val="Grid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5" w:customStyle="1">
    <w:name w:val="Grid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6" w:customStyle="1">
    <w:name w:val="Grid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7" w:customStyle="1">
    <w:name w:val="Grid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8" w:customStyle="1">
    <w:name w:val="Grid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9">
    <w:name w:val="Grid Table 7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1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2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3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4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5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6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0">
    <w:name w:val="List Table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5 Dark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>
    <w:name w:val="List Table 6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2" w:customStyle="1">
    <w:name w:val="List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3" w:customStyle="1">
    <w:name w:val="List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4" w:customStyle="1">
    <w:name w:val="List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5" w:customStyle="1">
    <w:name w:val="List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6" w:customStyle="1">
    <w:name w:val="List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7" w:customStyle="1">
    <w:name w:val="List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8">
    <w:name w:val="List Table 7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6" w:customStyle="1">
    <w:name w:val="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7" w:customStyle="1">
    <w:name w:val="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8" w:customStyle="1">
    <w:name w:val="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9" w:customStyle="1">
    <w:name w:val="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0" w:customStyle="1">
    <w:name w:val="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1" w:customStyle="1">
    <w:name w:val="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2" w:customStyle="1">
    <w:name w:val="Bordered &amp; 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Bordered &amp; 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4" w:customStyle="1">
    <w:name w:val="Bordered &amp; 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5" w:customStyle="1">
    <w:name w:val="Bordered &amp; 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6" w:customStyle="1">
    <w:name w:val="Bordered &amp; 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7" w:customStyle="1">
    <w:name w:val="Bordered &amp; 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8" w:customStyle="1">
    <w:name w:val="Bordered &amp; 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9" w:customStyle="1">
    <w:name w:val="Bordered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0" w:customStyle="1">
    <w:name w:val="Bordered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1" w:customStyle="1">
    <w:name w:val="Bordered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2" w:customStyle="1">
    <w:name w:val="Bordered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3" w:customStyle="1">
    <w:name w:val="Bordered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4" w:customStyle="1">
    <w:name w:val="Bordered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5" w:customStyle="1">
    <w:name w:val="Bordered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6">
    <w:name w:val="Hyperlink"/>
    <w:uiPriority w:val="99"/>
    <w:unhideWhenUsed/>
    <w:rPr>
      <w:color w:val="0563c1" w:themeColor="hyperlink"/>
      <w:u w:val="single"/>
    </w:rPr>
  </w:style>
  <w:style w:type="paragraph" w:styleId="897">
    <w:name w:val="footnote text"/>
    <w:basedOn w:val="721"/>
    <w:link w:val="898"/>
    <w:uiPriority w:val="99"/>
    <w:semiHidden/>
    <w:unhideWhenUsed/>
    <w:pPr>
      <w:spacing w:after="40" w:line="240" w:lineRule="auto"/>
    </w:pPr>
    <w:rPr>
      <w:sz w:val="18"/>
    </w:rPr>
  </w:style>
  <w:style w:type="character" w:styleId="898" w:customStyle="1">
    <w:name w:val="Текст сноски Знак"/>
    <w:link w:val="897"/>
    <w:uiPriority w:val="99"/>
    <w:rPr>
      <w:sz w:val="18"/>
    </w:rPr>
  </w:style>
  <w:style w:type="character" w:styleId="899">
    <w:name w:val="footnote reference"/>
    <w:basedOn w:val="731"/>
    <w:uiPriority w:val="99"/>
    <w:unhideWhenUsed/>
    <w:rPr>
      <w:vertAlign w:val="superscript"/>
    </w:rPr>
  </w:style>
  <w:style w:type="paragraph" w:styleId="900">
    <w:name w:val="endnote text"/>
    <w:basedOn w:val="721"/>
    <w:link w:val="901"/>
    <w:uiPriority w:val="99"/>
    <w:semiHidden/>
    <w:unhideWhenUsed/>
    <w:pPr>
      <w:spacing w:after="0" w:line="240" w:lineRule="auto"/>
    </w:pPr>
    <w:rPr>
      <w:sz w:val="20"/>
    </w:rPr>
  </w:style>
  <w:style w:type="character" w:styleId="901" w:customStyle="1">
    <w:name w:val="Текст концевой сноски Знак"/>
    <w:link w:val="900"/>
    <w:uiPriority w:val="99"/>
    <w:rPr>
      <w:sz w:val="20"/>
    </w:rPr>
  </w:style>
  <w:style w:type="character" w:styleId="902">
    <w:name w:val="endnote reference"/>
    <w:basedOn w:val="731"/>
    <w:uiPriority w:val="99"/>
    <w:semiHidden/>
    <w:unhideWhenUsed/>
    <w:rPr>
      <w:vertAlign w:val="superscript"/>
    </w:rPr>
  </w:style>
  <w:style w:type="paragraph" w:styleId="903">
    <w:name w:val="toc 1"/>
    <w:basedOn w:val="721"/>
    <w:next w:val="721"/>
    <w:uiPriority w:val="39"/>
    <w:unhideWhenUsed/>
    <w:pPr>
      <w:spacing w:after="57"/>
    </w:pPr>
  </w:style>
  <w:style w:type="paragraph" w:styleId="904">
    <w:name w:val="toc 2"/>
    <w:basedOn w:val="721"/>
    <w:next w:val="721"/>
    <w:uiPriority w:val="39"/>
    <w:unhideWhenUsed/>
    <w:pPr>
      <w:ind w:left="283"/>
      <w:spacing w:after="57"/>
    </w:pPr>
  </w:style>
  <w:style w:type="paragraph" w:styleId="905">
    <w:name w:val="toc 3"/>
    <w:basedOn w:val="721"/>
    <w:next w:val="721"/>
    <w:uiPriority w:val="39"/>
    <w:unhideWhenUsed/>
    <w:pPr>
      <w:ind w:left="567"/>
      <w:spacing w:after="57"/>
    </w:pPr>
  </w:style>
  <w:style w:type="paragraph" w:styleId="906">
    <w:name w:val="toc 4"/>
    <w:basedOn w:val="721"/>
    <w:next w:val="721"/>
    <w:uiPriority w:val="39"/>
    <w:unhideWhenUsed/>
    <w:pPr>
      <w:ind w:left="850"/>
      <w:spacing w:after="57"/>
    </w:pPr>
  </w:style>
  <w:style w:type="paragraph" w:styleId="907">
    <w:name w:val="toc 5"/>
    <w:basedOn w:val="721"/>
    <w:next w:val="721"/>
    <w:uiPriority w:val="39"/>
    <w:unhideWhenUsed/>
    <w:pPr>
      <w:ind w:left="1134"/>
      <w:spacing w:after="57"/>
    </w:pPr>
  </w:style>
  <w:style w:type="paragraph" w:styleId="908">
    <w:name w:val="toc 6"/>
    <w:basedOn w:val="721"/>
    <w:next w:val="721"/>
    <w:uiPriority w:val="39"/>
    <w:unhideWhenUsed/>
    <w:pPr>
      <w:ind w:left="1417"/>
      <w:spacing w:after="57"/>
    </w:pPr>
  </w:style>
  <w:style w:type="paragraph" w:styleId="909">
    <w:name w:val="toc 7"/>
    <w:basedOn w:val="721"/>
    <w:next w:val="721"/>
    <w:uiPriority w:val="39"/>
    <w:unhideWhenUsed/>
    <w:pPr>
      <w:ind w:left="1701"/>
      <w:spacing w:after="57"/>
    </w:pPr>
  </w:style>
  <w:style w:type="paragraph" w:styleId="910">
    <w:name w:val="toc 8"/>
    <w:basedOn w:val="721"/>
    <w:next w:val="721"/>
    <w:uiPriority w:val="39"/>
    <w:unhideWhenUsed/>
    <w:pPr>
      <w:ind w:left="1984"/>
      <w:spacing w:after="57"/>
    </w:pPr>
  </w:style>
  <w:style w:type="paragraph" w:styleId="911">
    <w:name w:val="toc 9"/>
    <w:basedOn w:val="721"/>
    <w:next w:val="721"/>
    <w:uiPriority w:val="39"/>
    <w:unhideWhenUsed/>
    <w:pPr>
      <w:ind w:left="2268"/>
      <w:spacing w:after="57"/>
    </w:pPr>
  </w:style>
  <w:style w:type="paragraph" w:styleId="912">
    <w:name w:val="TOC Heading"/>
    <w:uiPriority w:val="39"/>
    <w:unhideWhenUsed/>
  </w:style>
  <w:style w:type="paragraph" w:styleId="913">
    <w:name w:val="table of figures"/>
    <w:basedOn w:val="721"/>
    <w:next w:val="721"/>
    <w:uiPriority w:val="99"/>
    <w:unhideWhenUsed/>
    <w:pPr>
      <w:spacing w:after="0"/>
    </w:pPr>
  </w:style>
  <w:style w:type="paragraph" w:styleId="914">
    <w:name w:val="Header"/>
    <w:basedOn w:val="721"/>
    <w:link w:val="91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5" w:customStyle="1">
    <w:name w:val="Верхний колонтитул Знак"/>
    <w:basedOn w:val="731"/>
    <w:link w:val="914"/>
    <w:uiPriority w:val="99"/>
  </w:style>
  <w:style w:type="paragraph" w:styleId="916">
    <w:name w:val="Footer"/>
    <w:basedOn w:val="721"/>
    <w:link w:val="91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7" w:customStyle="1">
    <w:name w:val="Нижний колонтитул Знак"/>
    <w:basedOn w:val="731"/>
    <w:link w:val="916"/>
    <w:uiPriority w:val="99"/>
  </w:style>
  <w:style w:type="character" w:styleId="918">
    <w:name w:val="page number"/>
    <w:uiPriority w:val="99"/>
    <w:rPr>
      <w:rFonts w:cs="Times New Roman"/>
    </w:rPr>
  </w:style>
  <w:style w:type="paragraph" w:styleId="919">
    <w:name w:val="Balloon Text"/>
    <w:basedOn w:val="721"/>
    <w:link w:val="92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20" w:customStyle="1">
    <w:name w:val="Текст выноски Знак"/>
    <w:basedOn w:val="731"/>
    <w:link w:val="919"/>
    <w:uiPriority w:val="99"/>
    <w:semiHidden/>
    <w:rPr>
      <w:rFonts w:ascii="Segoe UI" w:hAnsi="Segoe UI" w:cs="Segoe UI"/>
      <w:sz w:val="18"/>
      <w:szCs w:val="18"/>
    </w:rPr>
  </w:style>
  <w:style w:type="paragraph" w:styleId="921">
    <w:name w:val="No Spacing"/>
    <w:link w:val="92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22" w:customStyle="1">
    <w:name w:val="Без интервала Знак"/>
    <w:link w:val="921"/>
    <w:uiPriority w:val="1"/>
    <w:rPr>
      <w:rFonts w:ascii="Calibri" w:hAnsi="Calibri" w:eastAsia="Calibri" w:cs="Times New Roman"/>
    </w:rPr>
  </w:style>
  <w:style w:type="paragraph" w:styleId="923">
    <w:name w:val="List Paragraph"/>
    <w:basedOn w:val="721"/>
    <w:uiPriority w:val="34"/>
    <w:qFormat/>
    <w:pPr>
      <w:contextualSpacing/>
      <w:ind w:left="720"/>
    </w:pPr>
  </w:style>
  <w:style w:type="paragraph" w:styleId="924" w:customStyle="1">
    <w:name w:val="Block Quotation"/>
    <w:basedOn w:val="721"/>
    <w:pPr>
      <w:ind w:left="567" w:right="-2" w:firstLine="851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925">
    <w:name w:val="Table Grid"/>
    <w:basedOn w:val="732"/>
    <w:uiPriority w:val="59"/>
    <w:pPr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6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927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character" w:styleId="928">
    <w:name w:val="annotation reference"/>
    <w:basedOn w:val="731"/>
    <w:uiPriority w:val="99"/>
    <w:semiHidden/>
    <w:unhideWhenUsed/>
    <w:rPr>
      <w:sz w:val="16"/>
      <w:szCs w:val="16"/>
    </w:rPr>
  </w:style>
  <w:style w:type="paragraph" w:styleId="929">
    <w:name w:val="annotation text"/>
    <w:basedOn w:val="721"/>
    <w:link w:val="93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30" w:customStyle="1">
    <w:name w:val="Текст примечания Знак"/>
    <w:basedOn w:val="731"/>
    <w:link w:val="929"/>
    <w:uiPriority w:val="99"/>
    <w:semiHidden/>
    <w:rPr>
      <w:sz w:val="20"/>
      <w:szCs w:val="20"/>
    </w:rPr>
  </w:style>
  <w:style w:type="paragraph" w:styleId="931">
    <w:name w:val="annotation subject"/>
    <w:basedOn w:val="929"/>
    <w:next w:val="929"/>
    <w:link w:val="932"/>
    <w:uiPriority w:val="99"/>
    <w:semiHidden/>
    <w:unhideWhenUsed/>
    <w:rPr>
      <w:b/>
      <w:bCs/>
    </w:rPr>
  </w:style>
  <w:style w:type="character" w:styleId="932" w:customStyle="1">
    <w:name w:val="Тема примечания Знак"/>
    <w:basedOn w:val="930"/>
    <w:link w:val="931"/>
    <w:uiPriority w:val="99"/>
    <w:semiHidden/>
    <w:rPr>
      <w:b/>
      <w:bCs/>
      <w:sz w:val="20"/>
      <w:szCs w:val="20"/>
    </w:rPr>
  </w:style>
  <w:style w:type="paragraph" w:styleId="933">
    <w:name w:val="Normal (Web)"/>
    <w:basedOn w:val="72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F5A09-9B05-4612-8A43-495EB72A7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Галентова Анна Юрьевна</dc:creator>
  <cp:keywords/>
  <dc:description/>
  <cp:lastModifiedBy>suo</cp:lastModifiedBy>
  <cp:revision>5</cp:revision>
  <dcterms:created xsi:type="dcterms:W3CDTF">2025-10-24T13:10:00Z</dcterms:created>
  <dcterms:modified xsi:type="dcterms:W3CDTF">2025-10-31T04:54:13Z</dcterms:modified>
</cp:coreProperties>
</file>